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1C" w:rsidRPr="00F817FF" w:rsidRDefault="001E091C" w:rsidP="001E091C">
      <w:pPr>
        <w:tabs>
          <w:tab w:val="left" w:pos="1695"/>
        </w:tabs>
        <w:jc w:val="center"/>
        <w:rPr>
          <w:b/>
          <w:sz w:val="28"/>
          <w:szCs w:val="28"/>
        </w:rPr>
      </w:pPr>
      <w:r w:rsidRPr="00F817FF">
        <w:rPr>
          <w:b/>
          <w:sz w:val="28"/>
          <w:szCs w:val="28"/>
        </w:rPr>
        <w:t>РОССИЙСКАЯ ФЕДЕРАЦИЯ</w:t>
      </w:r>
    </w:p>
    <w:p w:rsidR="001E091C" w:rsidRPr="00F817FF" w:rsidRDefault="001E091C" w:rsidP="001E091C">
      <w:pPr>
        <w:tabs>
          <w:tab w:val="left" w:pos="1695"/>
          <w:tab w:val="center" w:pos="4677"/>
        </w:tabs>
        <w:jc w:val="center"/>
        <w:rPr>
          <w:b/>
          <w:sz w:val="28"/>
          <w:szCs w:val="28"/>
        </w:rPr>
      </w:pPr>
      <w:r w:rsidRPr="00F817FF">
        <w:rPr>
          <w:b/>
          <w:sz w:val="28"/>
          <w:szCs w:val="28"/>
        </w:rPr>
        <w:t>ОРЛОВСКАЯ ОБЛАСТЬ ПОКРОВСКИЙ РАЙОН</w:t>
      </w:r>
    </w:p>
    <w:p w:rsidR="001E091C" w:rsidRPr="001E091C" w:rsidRDefault="001E091C" w:rsidP="001E091C">
      <w:pPr>
        <w:tabs>
          <w:tab w:val="left" w:pos="1695"/>
          <w:tab w:val="center" w:pos="4677"/>
        </w:tabs>
        <w:jc w:val="center"/>
        <w:rPr>
          <w:b/>
          <w:sz w:val="28"/>
          <w:szCs w:val="28"/>
          <w:u w:val="single"/>
        </w:rPr>
      </w:pPr>
      <w:r w:rsidRPr="001E091C">
        <w:rPr>
          <w:b/>
          <w:sz w:val="28"/>
          <w:szCs w:val="28"/>
          <w:u w:val="single"/>
        </w:rPr>
        <w:t>ТОПКОВСКИЙ СЕЛЬСКИЙ СОВЕТ НАРОДНЫХ                          ДЕПУТАТОВ</w:t>
      </w:r>
    </w:p>
    <w:p w:rsidR="001E091C" w:rsidRPr="00F817FF" w:rsidRDefault="001E091C" w:rsidP="001E091C">
      <w:pPr>
        <w:tabs>
          <w:tab w:val="left" w:pos="1695"/>
          <w:tab w:val="center" w:pos="4677"/>
        </w:tabs>
        <w:jc w:val="center"/>
        <w:rPr>
          <w:b/>
          <w:sz w:val="28"/>
          <w:szCs w:val="28"/>
        </w:rPr>
      </w:pPr>
    </w:p>
    <w:p w:rsidR="001E091C" w:rsidRPr="00F817FF" w:rsidRDefault="001E091C" w:rsidP="001E091C">
      <w:pPr>
        <w:tabs>
          <w:tab w:val="left" w:pos="1695"/>
          <w:tab w:val="center" w:pos="4677"/>
        </w:tabs>
        <w:rPr>
          <w:sz w:val="28"/>
          <w:szCs w:val="28"/>
        </w:rPr>
      </w:pPr>
      <w:r w:rsidRPr="00F817FF">
        <w:rPr>
          <w:sz w:val="28"/>
          <w:szCs w:val="28"/>
        </w:rPr>
        <w:t xml:space="preserve">                             </w:t>
      </w:r>
    </w:p>
    <w:p w:rsidR="001E091C" w:rsidRPr="00F817FF" w:rsidRDefault="001E091C" w:rsidP="001E091C">
      <w:pPr>
        <w:tabs>
          <w:tab w:val="left" w:pos="1695"/>
          <w:tab w:val="center" w:pos="4677"/>
        </w:tabs>
        <w:jc w:val="center"/>
        <w:rPr>
          <w:b/>
          <w:sz w:val="28"/>
          <w:szCs w:val="28"/>
        </w:rPr>
      </w:pPr>
      <w:bookmarkStart w:id="0" w:name="_GoBack"/>
      <w:r w:rsidRPr="00F817FF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bookmarkEnd w:id="0"/>
    <w:p w:rsidR="003638E8" w:rsidRDefault="003638E8" w:rsidP="003638E8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25 февраля 2025г.                                          № 44/2-СС</w:t>
      </w:r>
    </w:p>
    <w:p w:rsidR="003638E8" w:rsidRDefault="003638E8" w:rsidP="003638E8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1E091C" w:rsidRPr="00F817FF" w:rsidRDefault="001E091C" w:rsidP="001E091C">
      <w:pPr>
        <w:tabs>
          <w:tab w:val="left" w:pos="1695"/>
          <w:tab w:val="center" w:pos="4677"/>
        </w:tabs>
        <w:rPr>
          <w:sz w:val="28"/>
          <w:szCs w:val="28"/>
        </w:rPr>
      </w:pPr>
      <w:r w:rsidRPr="00F817FF">
        <w:rPr>
          <w:sz w:val="28"/>
          <w:szCs w:val="28"/>
        </w:rPr>
        <w:t xml:space="preserve">   </w:t>
      </w:r>
    </w:p>
    <w:p w:rsidR="001E091C" w:rsidRDefault="001E091C" w:rsidP="001E091C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="003638E8">
        <w:rPr>
          <w:sz w:val="28"/>
          <w:szCs w:val="28"/>
        </w:rPr>
        <w:t xml:space="preserve"> на 44 заседании </w:t>
      </w:r>
      <w:r>
        <w:rPr>
          <w:sz w:val="28"/>
          <w:szCs w:val="28"/>
        </w:rPr>
        <w:t>Топковск</w:t>
      </w:r>
      <w:r w:rsidR="003638E8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</w:t>
      </w:r>
      <w:r w:rsidR="003638E8">
        <w:rPr>
          <w:sz w:val="28"/>
          <w:szCs w:val="28"/>
        </w:rPr>
        <w:t>ого</w:t>
      </w:r>
      <w:proofErr w:type="gramEnd"/>
    </w:p>
    <w:p w:rsidR="001E091C" w:rsidRDefault="001E091C" w:rsidP="001E091C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3638E8">
        <w:rPr>
          <w:sz w:val="28"/>
          <w:szCs w:val="28"/>
        </w:rPr>
        <w:t>а</w:t>
      </w:r>
      <w:r>
        <w:rPr>
          <w:sz w:val="28"/>
          <w:szCs w:val="28"/>
        </w:rPr>
        <w:t xml:space="preserve"> народных депутатов</w:t>
      </w:r>
    </w:p>
    <w:p w:rsidR="001E091C" w:rsidRDefault="001E091C" w:rsidP="001E091C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1E091C" w:rsidRDefault="001E091C" w:rsidP="001E091C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1E091C" w:rsidRPr="00C9291C" w:rsidRDefault="001E091C" w:rsidP="001E091C">
      <w:pPr>
        <w:ind w:left="-142"/>
        <w:jc w:val="both"/>
        <w:rPr>
          <w:b/>
          <w:sz w:val="28"/>
          <w:szCs w:val="28"/>
        </w:rPr>
      </w:pPr>
      <w:r w:rsidRPr="00C9291C">
        <w:rPr>
          <w:b/>
          <w:sz w:val="28"/>
          <w:szCs w:val="28"/>
        </w:rPr>
        <w:t xml:space="preserve">О внесении изменений в решение </w:t>
      </w:r>
      <w:r>
        <w:rPr>
          <w:b/>
          <w:sz w:val="28"/>
          <w:szCs w:val="28"/>
        </w:rPr>
        <w:t>Топковского</w:t>
      </w:r>
      <w:r w:rsidRPr="00C9291C">
        <w:rPr>
          <w:b/>
          <w:sz w:val="28"/>
          <w:szCs w:val="28"/>
        </w:rPr>
        <w:t xml:space="preserve"> сельского Совета народных депутатов «Об утверждении Положения о бюджетном процессе в администрации </w:t>
      </w:r>
      <w:r>
        <w:rPr>
          <w:b/>
          <w:sz w:val="28"/>
          <w:szCs w:val="28"/>
        </w:rPr>
        <w:t>Топковского</w:t>
      </w:r>
      <w:r w:rsidRPr="00C9291C">
        <w:rPr>
          <w:b/>
          <w:sz w:val="28"/>
          <w:szCs w:val="28"/>
        </w:rPr>
        <w:t xml:space="preserve"> сельского поселения Покровского района Орловской области» № </w:t>
      </w:r>
      <w:r w:rsidR="00BE472C">
        <w:rPr>
          <w:b/>
          <w:sz w:val="28"/>
          <w:szCs w:val="28"/>
        </w:rPr>
        <w:t>9/3-СС от  11 февраля 2022</w:t>
      </w:r>
      <w:r w:rsidRPr="00C9291C">
        <w:rPr>
          <w:b/>
          <w:sz w:val="28"/>
          <w:szCs w:val="28"/>
        </w:rPr>
        <w:t xml:space="preserve"> года</w:t>
      </w:r>
    </w:p>
    <w:p w:rsidR="001E091C" w:rsidRPr="00C9291C" w:rsidRDefault="001E091C" w:rsidP="001E091C">
      <w:pPr>
        <w:ind w:left="-142" w:firstLine="96"/>
        <w:jc w:val="both"/>
        <w:rPr>
          <w:b/>
          <w:sz w:val="28"/>
          <w:szCs w:val="28"/>
        </w:rPr>
      </w:pPr>
    </w:p>
    <w:p w:rsidR="001E091C" w:rsidRPr="00C9291C" w:rsidRDefault="001E091C" w:rsidP="001E091C">
      <w:pPr>
        <w:ind w:left="-142" w:firstLine="96"/>
        <w:jc w:val="both"/>
        <w:rPr>
          <w:sz w:val="28"/>
          <w:szCs w:val="28"/>
        </w:rPr>
      </w:pPr>
      <w:r w:rsidRPr="00C9291C">
        <w:rPr>
          <w:sz w:val="28"/>
          <w:szCs w:val="28"/>
        </w:rPr>
        <w:t xml:space="preserve">           В целях приведения нормативно-правового акта </w:t>
      </w:r>
      <w:r w:rsidR="00E00E75">
        <w:rPr>
          <w:sz w:val="28"/>
          <w:szCs w:val="28"/>
        </w:rPr>
        <w:t>Топковского</w:t>
      </w:r>
      <w:r w:rsidRPr="00C9291C">
        <w:rPr>
          <w:sz w:val="28"/>
          <w:szCs w:val="28"/>
        </w:rPr>
        <w:t xml:space="preserve"> сельского поселения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E00E75">
        <w:rPr>
          <w:sz w:val="28"/>
          <w:szCs w:val="28"/>
        </w:rPr>
        <w:t>Топковского</w:t>
      </w:r>
      <w:r w:rsidRPr="00C9291C">
        <w:rPr>
          <w:sz w:val="28"/>
          <w:szCs w:val="28"/>
        </w:rPr>
        <w:t xml:space="preserve"> сельского поселения, </w:t>
      </w:r>
      <w:proofErr w:type="spellStart"/>
      <w:r w:rsidR="00E00E75">
        <w:rPr>
          <w:sz w:val="28"/>
          <w:szCs w:val="28"/>
        </w:rPr>
        <w:t>Топковский</w:t>
      </w:r>
      <w:proofErr w:type="spellEnd"/>
      <w:r>
        <w:rPr>
          <w:sz w:val="28"/>
          <w:szCs w:val="28"/>
        </w:rPr>
        <w:t xml:space="preserve"> </w:t>
      </w:r>
      <w:r w:rsidRPr="00C9291C">
        <w:rPr>
          <w:sz w:val="28"/>
          <w:szCs w:val="28"/>
        </w:rPr>
        <w:t>сельский Совет народных депутатов</w:t>
      </w:r>
    </w:p>
    <w:p w:rsidR="001E091C" w:rsidRPr="00C9291C" w:rsidRDefault="001E091C" w:rsidP="001E091C">
      <w:pPr>
        <w:ind w:left="-142" w:firstLine="96"/>
        <w:jc w:val="both"/>
        <w:rPr>
          <w:b/>
          <w:sz w:val="28"/>
          <w:szCs w:val="28"/>
        </w:rPr>
      </w:pPr>
    </w:p>
    <w:p w:rsidR="001E091C" w:rsidRPr="00C9291C" w:rsidRDefault="001E091C" w:rsidP="001E091C">
      <w:pPr>
        <w:spacing w:after="200" w:line="276" w:lineRule="auto"/>
        <w:jc w:val="both"/>
        <w:rPr>
          <w:sz w:val="28"/>
          <w:szCs w:val="28"/>
        </w:rPr>
      </w:pPr>
      <w:r w:rsidRPr="00C9291C">
        <w:rPr>
          <w:b/>
          <w:sz w:val="28"/>
          <w:szCs w:val="28"/>
        </w:rPr>
        <w:t xml:space="preserve">РЕШИЛ: </w:t>
      </w:r>
    </w:p>
    <w:p w:rsidR="001E091C" w:rsidRDefault="001E091C" w:rsidP="001E091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91C">
        <w:rPr>
          <w:sz w:val="28"/>
          <w:szCs w:val="28"/>
        </w:rPr>
        <w:t xml:space="preserve">Внести в решение сессии </w:t>
      </w:r>
      <w:r w:rsidR="00E00E75">
        <w:rPr>
          <w:sz w:val="28"/>
          <w:szCs w:val="28"/>
        </w:rPr>
        <w:t>Топковского</w:t>
      </w:r>
      <w:r w:rsidRPr="00C9291C">
        <w:rPr>
          <w:sz w:val="28"/>
          <w:szCs w:val="28"/>
        </w:rPr>
        <w:t xml:space="preserve"> сельского Совета народных депутатов «Об утверждении Положения о бюджетном процессе в администрации </w:t>
      </w:r>
      <w:r w:rsidR="00E00E75">
        <w:rPr>
          <w:sz w:val="28"/>
          <w:szCs w:val="28"/>
        </w:rPr>
        <w:t>Топковского</w:t>
      </w:r>
      <w:r w:rsidRPr="00C9291C">
        <w:rPr>
          <w:sz w:val="28"/>
          <w:szCs w:val="28"/>
        </w:rPr>
        <w:t xml:space="preserve"> сельского поселения Покровско</w:t>
      </w:r>
      <w:r>
        <w:rPr>
          <w:sz w:val="28"/>
          <w:szCs w:val="28"/>
        </w:rPr>
        <w:t>го района Орловской области» №</w:t>
      </w:r>
      <w:r w:rsidR="00E00E75">
        <w:rPr>
          <w:sz w:val="28"/>
          <w:szCs w:val="28"/>
        </w:rPr>
        <w:t>9/2</w:t>
      </w:r>
      <w:r>
        <w:rPr>
          <w:sz w:val="28"/>
          <w:szCs w:val="28"/>
        </w:rPr>
        <w:t xml:space="preserve">-СС от </w:t>
      </w:r>
      <w:r w:rsidR="00E00E7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C9291C">
        <w:rPr>
          <w:sz w:val="28"/>
          <w:szCs w:val="28"/>
        </w:rPr>
        <w:t xml:space="preserve"> </w:t>
      </w:r>
      <w:r w:rsidR="00E00E75">
        <w:rPr>
          <w:sz w:val="28"/>
          <w:szCs w:val="28"/>
        </w:rPr>
        <w:t>февраля</w:t>
      </w:r>
      <w:r w:rsidRPr="00C9291C">
        <w:rPr>
          <w:sz w:val="28"/>
          <w:szCs w:val="28"/>
        </w:rPr>
        <w:t xml:space="preserve"> 20</w:t>
      </w:r>
      <w:r w:rsidR="00E00E75">
        <w:rPr>
          <w:sz w:val="28"/>
          <w:szCs w:val="28"/>
        </w:rPr>
        <w:t>22</w:t>
      </w:r>
      <w:r w:rsidRPr="00C9291C">
        <w:rPr>
          <w:sz w:val="28"/>
          <w:szCs w:val="28"/>
        </w:rPr>
        <w:t xml:space="preserve"> года следующие изменения:</w:t>
      </w:r>
    </w:p>
    <w:p w:rsidR="001E091C" w:rsidRPr="003046A1" w:rsidRDefault="001E091C" w:rsidP="001E091C">
      <w:pPr>
        <w:contextualSpacing/>
        <w:jc w:val="both"/>
        <w:rPr>
          <w:b/>
          <w:sz w:val="28"/>
          <w:szCs w:val="28"/>
        </w:rPr>
      </w:pPr>
      <w:r w:rsidRPr="003046A1">
        <w:rPr>
          <w:b/>
          <w:sz w:val="28"/>
          <w:szCs w:val="28"/>
        </w:rPr>
        <w:t>1.Статью 28 дополнить пунктами: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 w:rsidRPr="003046A1">
        <w:rPr>
          <w:b/>
          <w:sz w:val="28"/>
          <w:szCs w:val="28"/>
        </w:rPr>
        <w:t xml:space="preserve"> 5</w:t>
      </w:r>
      <w:r w:rsidRPr="003046A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 объем муниципального внутреннего долга включаются: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3) объем основного долга по кредитам, привлеченным муниципальным образованием от кредитных организаций, обязательства по которым выражены в валюте Российской Федерации;</w:t>
      </w:r>
    </w:p>
    <w:p w:rsidR="001E091C" w:rsidRDefault="00E00E75" w:rsidP="00E00E75">
      <w:pPr>
        <w:pStyle w:val="no-indent"/>
        <w:shd w:val="clear" w:color="auto" w:fill="F4F3F8"/>
        <w:spacing w:before="0" w:beforeAutospacing="0" w:after="0" w:afterAutospacing="0" w:line="330" w:lineRule="atLeast"/>
        <w:rPr>
          <w:color w:val="000000"/>
          <w:sz w:val="30"/>
          <w:szCs w:val="30"/>
        </w:rPr>
      </w:pPr>
      <w:r>
        <w:rPr>
          <w:color w:val="392C69"/>
          <w:sz w:val="28"/>
          <w:szCs w:val="28"/>
        </w:rPr>
        <w:t xml:space="preserve">        </w:t>
      </w:r>
      <w:r w:rsidR="001E091C">
        <w:rPr>
          <w:color w:val="000000"/>
          <w:sz w:val="30"/>
          <w:szCs w:val="30"/>
        </w:rPr>
        <w:t>4) объем обязательств, вытекающих из муниципальных гарантий, выраженных в валюте Российской Федерации;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5) объем иных непогашенных долговых обязательств муниципального образования в валюте Российской Федерации.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3046A1">
        <w:rPr>
          <w:b/>
          <w:sz w:val="28"/>
          <w:szCs w:val="28"/>
        </w:rPr>
        <w:t xml:space="preserve"> 6.</w:t>
      </w:r>
      <w:r w:rsidRPr="003046A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объем муниципального внешнего долга включаются: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объем основного долга по бюджетным кредитам в иностранной валюте, привлеченным муниципальным образованием от Российской Федерации в рамках использования целевых иностранных кредитов;</w:t>
      </w:r>
    </w:p>
    <w:p w:rsidR="001E091C" w:rsidRDefault="001E091C" w:rsidP="001E091C">
      <w:pPr>
        <w:pStyle w:val="a4"/>
        <w:shd w:val="clear" w:color="auto" w:fill="FFFFFF"/>
        <w:spacing w:before="36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кредитов.</w:t>
      </w:r>
    </w:p>
    <w:p w:rsidR="001E091C" w:rsidRPr="00C9291C" w:rsidRDefault="001E091C" w:rsidP="001E091C">
      <w:pPr>
        <w:contextualSpacing/>
        <w:jc w:val="both"/>
        <w:rPr>
          <w:sz w:val="28"/>
          <w:szCs w:val="28"/>
        </w:rPr>
      </w:pPr>
    </w:p>
    <w:p w:rsidR="001E091C" w:rsidRDefault="001E091C" w:rsidP="001E091C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1E091C" w:rsidRPr="003046A1" w:rsidRDefault="001E091C" w:rsidP="001E091C">
      <w:pPr>
        <w:rPr>
          <w:b/>
          <w:sz w:val="28"/>
          <w:szCs w:val="28"/>
        </w:rPr>
      </w:pPr>
      <w:r w:rsidRPr="003046A1">
        <w:rPr>
          <w:b/>
          <w:sz w:val="28"/>
          <w:szCs w:val="28"/>
        </w:rPr>
        <w:t>2.Пункт 1 статьи 40 дополнить следующим содержанием:</w:t>
      </w:r>
    </w:p>
    <w:p w:rsidR="001E091C" w:rsidRDefault="001E091C" w:rsidP="001E091C">
      <w:pPr>
        <w:rPr>
          <w:color w:val="000000"/>
          <w:sz w:val="30"/>
          <w:szCs w:val="30"/>
          <w:shd w:val="clear" w:color="auto" w:fill="FFFFFF"/>
        </w:rPr>
      </w:pPr>
      <w:r>
        <w:t>-</w:t>
      </w:r>
      <w:r>
        <w:rPr>
          <w:color w:val="000000"/>
          <w:sz w:val="30"/>
          <w:szCs w:val="30"/>
          <w:shd w:val="clear" w:color="auto" w:fill="FFFFFF"/>
        </w:rPr>
        <w:t xml:space="preserve"> вносит предложения по формированию и изменению лимитов бюджетных обязательств</w:t>
      </w:r>
    </w:p>
    <w:p w:rsidR="001E091C" w:rsidRDefault="001E091C" w:rsidP="001E091C">
      <w:pPr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 вносит предложения по формированию и изменению сводной бюджетной росписи</w:t>
      </w:r>
    </w:p>
    <w:p w:rsidR="001E091C" w:rsidRDefault="001E091C" w:rsidP="001E091C">
      <w:pPr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>
        <w:rPr>
          <w:color w:val="000000"/>
          <w:sz w:val="30"/>
          <w:szCs w:val="30"/>
          <w:shd w:val="clear" w:color="auto" w:fill="FFFFFF"/>
        </w:rPr>
        <w:t>софинансирования</w:t>
      </w:r>
      <w:proofErr w:type="spellEnd"/>
      <w:r>
        <w:rPr>
          <w:color w:val="000000"/>
          <w:sz w:val="30"/>
          <w:szCs w:val="30"/>
          <w:shd w:val="clear" w:color="auto" w:fill="FFFFFF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1E091C" w:rsidRDefault="001E091C" w:rsidP="001E091C">
      <w:pPr>
        <w:rPr>
          <w:color w:val="000000"/>
          <w:sz w:val="30"/>
          <w:szCs w:val="30"/>
          <w:shd w:val="clear" w:color="auto" w:fill="FFFFFF"/>
        </w:rPr>
      </w:pPr>
    </w:p>
    <w:p w:rsidR="001E091C" w:rsidRPr="00FE6606" w:rsidRDefault="001E091C" w:rsidP="001E091C">
      <w:pPr>
        <w:rPr>
          <w:b/>
          <w:color w:val="000000"/>
          <w:sz w:val="30"/>
          <w:szCs w:val="30"/>
          <w:shd w:val="clear" w:color="auto" w:fill="FFFFFF"/>
        </w:rPr>
      </w:pPr>
      <w:r w:rsidRPr="00FE6606">
        <w:rPr>
          <w:b/>
          <w:color w:val="000000"/>
          <w:sz w:val="30"/>
          <w:szCs w:val="30"/>
          <w:shd w:val="clear" w:color="auto" w:fill="FFFFFF"/>
        </w:rPr>
        <w:t>3.Часть 1 статьи 41 дополнить следующим содержанием:</w:t>
      </w:r>
    </w:p>
    <w:p w:rsidR="001E091C" w:rsidRDefault="001E091C" w:rsidP="001E091C">
      <w:pPr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-утверждает методику прогнозирования поступлений доходов в бюджет в соответствии с общими </w:t>
      </w:r>
      <w:hyperlink r:id="rId4" w:anchor="dst100010" w:history="1">
        <w:r>
          <w:rPr>
            <w:rStyle w:val="a3"/>
            <w:color w:val="1A0DAB"/>
            <w:sz w:val="30"/>
            <w:szCs w:val="30"/>
            <w:shd w:val="clear" w:color="auto" w:fill="FFFFFF"/>
          </w:rPr>
          <w:t>требованиями</w:t>
        </w:r>
      </w:hyperlink>
      <w:r>
        <w:rPr>
          <w:color w:val="000000"/>
          <w:sz w:val="30"/>
          <w:szCs w:val="30"/>
          <w:shd w:val="clear" w:color="auto" w:fill="FFFFFF"/>
        </w:rPr>
        <w:t> к такой методике, установленными Правительством Российской Федерации.</w:t>
      </w:r>
    </w:p>
    <w:p w:rsidR="001E091C" w:rsidRDefault="001E091C" w:rsidP="001E091C">
      <w:pPr>
        <w:rPr>
          <w:color w:val="000000"/>
          <w:sz w:val="30"/>
          <w:szCs w:val="30"/>
          <w:shd w:val="clear" w:color="auto" w:fill="FFFFFF"/>
        </w:rPr>
      </w:pPr>
    </w:p>
    <w:p w:rsidR="001E091C" w:rsidRPr="00FE6606" w:rsidRDefault="001E091C" w:rsidP="001E091C">
      <w:pPr>
        <w:rPr>
          <w:b/>
          <w:color w:val="000000"/>
          <w:sz w:val="30"/>
          <w:szCs w:val="30"/>
          <w:shd w:val="clear" w:color="auto" w:fill="FFFFFF"/>
        </w:rPr>
      </w:pPr>
      <w:r w:rsidRPr="00FE6606">
        <w:rPr>
          <w:b/>
          <w:color w:val="000000"/>
          <w:sz w:val="30"/>
          <w:szCs w:val="30"/>
          <w:shd w:val="clear" w:color="auto" w:fill="FFFFFF"/>
        </w:rPr>
        <w:t>4. Часть 2 статьи 41 дополнить следующим содержанием: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  <w:shd w:val="clear" w:color="auto" w:fill="FFFFFF"/>
        </w:rPr>
        <w:t>-</w:t>
      </w:r>
      <w:r w:rsidRPr="00FE6606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</w:rPr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hyperlink r:id="rId5" w:anchor="dst126" w:history="1">
        <w:r>
          <w:rPr>
            <w:rStyle w:val="a3"/>
            <w:color w:val="1A0DAB"/>
            <w:sz w:val="30"/>
            <w:szCs w:val="30"/>
          </w:rPr>
          <w:t>законом</w:t>
        </w:r>
      </w:hyperlink>
      <w:r>
        <w:rPr>
          <w:color w:val="000000"/>
          <w:sz w:val="30"/>
          <w:szCs w:val="30"/>
        </w:rPr>
        <w:t> от 27 июля 2010 года N 210-ФЗ</w:t>
      </w:r>
      <w:proofErr w:type="gramEnd"/>
      <w:r>
        <w:rPr>
          <w:color w:val="000000"/>
          <w:sz w:val="30"/>
          <w:szCs w:val="30"/>
        </w:rPr>
        <w:t xml:space="preserve">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-принимает решение о признании безнадежной к взысканию задолженности по платежам в бюджет;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 </w:t>
      </w:r>
      <w:hyperlink r:id="rId6" w:anchor="dst100012" w:history="1">
        <w:r>
          <w:rPr>
            <w:rStyle w:val="a3"/>
            <w:color w:val="1A0DAB"/>
            <w:sz w:val="30"/>
            <w:szCs w:val="30"/>
          </w:rPr>
          <w:t>требованиями</w:t>
        </w:r>
      </w:hyperlink>
      <w:r>
        <w:rPr>
          <w:color w:val="000000"/>
          <w:sz w:val="30"/>
          <w:szCs w:val="30"/>
        </w:rPr>
        <w:t>, установленными Министерством финансов Российской Федерации.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</w:p>
    <w:p w:rsidR="001E091C" w:rsidRDefault="00E00E75" w:rsidP="001E091C">
      <w:pPr>
        <w:pStyle w:val="a4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И.О. Главы Топковского</w:t>
      </w:r>
    </w:p>
    <w:p w:rsidR="001E091C" w:rsidRDefault="001E091C" w:rsidP="001E091C">
      <w:pPr>
        <w:pStyle w:val="a4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сельского поселения                                             </w:t>
      </w:r>
      <w:r w:rsidR="00A123BD">
        <w:rPr>
          <w:color w:val="000000"/>
          <w:sz w:val="30"/>
          <w:szCs w:val="30"/>
        </w:rPr>
        <w:t>Л.Г.Гутник</w:t>
      </w:r>
    </w:p>
    <w:p w:rsidR="001E091C" w:rsidRDefault="001E091C" w:rsidP="001E091C"/>
    <w:p w:rsidR="00D23A39" w:rsidRDefault="00D23A39"/>
    <w:sectPr w:rsidR="00D23A39" w:rsidSect="0098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E091C"/>
    <w:rsid w:val="000818F9"/>
    <w:rsid w:val="001E091C"/>
    <w:rsid w:val="00277327"/>
    <w:rsid w:val="003638E8"/>
    <w:rsid w:val="00495B71"/>
    <w:rsid w:val="008630E1"/>
    <w:rsid w:val="00883B53"/>
    <w:rsid w:val="00900728"/>
    <w:rsid w:val="009E6258"/>
    <w:rsid w:val="00A123BD"/>
    <w:rsid w:val="00A85AA7"/>
    <w:rsid w:val="00BE472C"/>
    <w:rsid w:val="00C11581"/>
    <w:rsid w:val="00D23A39"/>
    <w:rsid w:val="00E00E75"/>
    <w:rsid w:val="00F1571D"/>
    <w:rsid w:val="00F8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1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9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091C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E09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8903/7c0a10f801299a824af3b57df260cc022dfb059c/" TargetMode="External"/><Relationship Id="rId5" Type="http://schemas.openxmlformats.org/officeDocument/2006/relationships/hyperlink" Target="https://www.consultant.ru/document/cons_doc_LAW_494996/e9658dc60684a25fad837d2073fbaa18dba03361/" TargetMode="External"/><Relationship Id="rId4" Type="http://schemas.openxmlformats.org/officeDocument/2006/relationships/hyperlink" Target="https://www.consultant.ru/document/cons_doc_LAW_491925/ab63bacc709a22149540bdf9c9eaadba3e55ca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2025-02-14T11:28:00Z</dcterms:created>
  <dcterms:modified xsi:type="dcterms:W3CDTF">2025-03-07T10:14:00Z</dcterms:modified>
</cp:coreProperties>
</file>